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“法润江苏 情暖民工”专项活动情况统计表</w:t>
      </w:r>
      <w:bookmarkEnd w:id="0"/>
    </w:p>
    <w:p>
      <w:pPr>
        <w:snapToGrid w:val="0"/>
        <w:rPr>
          <w:rFonts w:eastAsia="方正仿宋_GBK"/>
          <w:sz w:val="32"/>
          <w:szCs w:val="32"/>
        </w:rPr>
      </w:pPr>
    </w:p>
    <w:p>
      <w:pPr>
        <w:snapToGrid w:val="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填报单位（盖章）：                     填报日期：                      统计数据截止到2021年2月28日</w:t>
      </w:r>
    </w:p>
    <w:tbl>
      <w:tblPr>
        <w:tblStyle w:val="3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24"/>
        <w:gridCol w:w="1024"/>
        <w:gridCol w:w="699"/>
        <w:gridCol w:w="699"/>
        <w:gridCol w:w="809"/>
        <w:gridCol w:w="988"/>
        <w:gridCol w:w="960"/>
        <w:gridCol w:w="1018"/>
        <w:gridCol w:w="1014"/>
        <w:gridCol w:w="992"/>
        <w:gridCol w:w="1111"/>
        <w:gridCol w:w="1009"/>
        <w:gridCol w:w="999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1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队伍组建情况</w:t>
            </w: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法律法规政策宣讲情况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农民工权益纠纷调处和</w:t>
            </w:r>
          </w:p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法律援助情况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民营企业</w:t>
            </w:r>
          </w:p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“法治体检”情况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线上开展法律服务情况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服务分队数量（个）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参与服务律师数量（人）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现场发放宣传资料（份）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现场法律咨询（人次）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实地普法宣传（场次）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现场宣讲惠及农民工（人次）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现场受理农民工权益纠纷案件（件）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调处农民工权益纠纷案件（件）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办理拖欠农民工工资法律援助案件（件）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帮助农民工挽回经济损失（万元）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开展“法治体检”民营企业数量（个）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帮助企业开展劳动用工法律风险评估（件）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组织相关法律政策宣讲（场次/线上参与人数）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线上调处农民工权益纠纷案件（件）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提供法律咨询和法律援助服务（件次）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snapToGrid w:val="0"/>
        <w:rPr>
          <w:rFonts w:eastAsia="方正仿宋_GBK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76EF6"/>
    <w:rsid w:val="729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2020-12-24T01:50:00Z</dcterms:created>
  <dc:creator>蓝色的忧郁</dc:creator>
  <cp:lastModifiedBy>蓝色的忧郁</cp:lastModifiedBy>
  <dcterms:modified xsi:type="dcterms:W3CDTF">2020-12-24T01:50:59Z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